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0C236C83" w:rsidR="00083F9D" w:rsidRPr="00547E2A" w:rsidRDefault="00547E2A" w:rsidP="00547E2A">
      <w:pPr>
        <w:jc w:val="center"/>
        <w:rPr>
          <w:rFonts w:ascii="Calibri" w:eastAsia="Times New Roman" w:hAnsi="Calibri" w:cs="Calibri"/>
          <w:b/>
          <w:szCs w:val="20"/>
        </w:rPr>
      </w:pPr>
      <w:r w:rsidRPr="00547E2A">
        <w:rPr>
          <w:rFonts w:ascii="Calibri" w:eastAsia="Times New Roman" w:hAnsi="Calibri" w:cs="Calibri"/>
          <w:b/>
          <w:szCs w:val="20"/>
        </w:rPr>
        <w:t>DICHIARAZIONI OBBLIGHI ASSUNZIONALI</w:t>
      </w:r>
    </w:p>
    <w:p w14:paraId="5AEC8A77" w14:textId="77777777" w:rsidR="00BA2378" w:rsidRPr="00083F9D" w:rsidRDefault="00BA2378" w:rsidP="00083F9D">
      <w:pPr>
        <w:rPr>
          <w:rFonts w:ascii="Calibri" w:eastAsia="Times New Roman" w:hAnsi="Calibri" w:cs="Calibri"/>
          <w:szCs w:val="20"/>
        </w:rPr>
      </w:pPr>
    </w:p>
    <w:p w14:paraId="6A4A524F" w14:textId="177F4D6F" w:rsidR="007024A7" w:rsidRPr="00E139D4" w:rsidRDefault="007024A7" w:rsidP="007024A7">
      <w:pPr>
        <w:rPr>
          <w:rFonts w:ascii="Calibri" w:hAnsi="Calibri" w:cs="Calibri"/>
          <w:caps/>
          <w:szCs w:val="20"/>
        </w:rPr>
      </w:pPr>
      <w:r w:rsidRPr="00E139D4">
        <w:rPr>
          <w:rFonts w:ascii="Calibri" w:hAnsi="Calibri" w:cs="Calibri"/>
          <w:caps/>
          <w:szCs w:val="20"/>
        </w:rPr>
        <w:t>AFFIDAMENTO DI [</w:t>
      </w:r>
      <w:r w:rsidRPr="00E139D4">
        <w:rPr>
          <w:rFonts w:ascii="Calibri" w:hAnsi="Calibri" w:cs="Calibri"/>
          <w:caps/>
          <w:szCs w:val="20"/>
          <w:highlight w:val="yellow"/>
        </w:rPr>
        <w:t>completare</w:t>
      </w:r>
      <w:r w:rsidRPr="00E139D4">
        <w:rPr>
          <w:rFonts w:ascii="Calibri" w:hAnsi="Calibri" w:cs="Calibri"/>
          <w:caps/>
          <w:szCs w:val="20"/>
        </w:rPr>
        <w:t>] NELL’AMBITO DEL PIANO NAZIONALE RIPRESA E RESILIENZA (PNRR) MISSIONE [</w:t>
      </w:r>
      <w:r w:rsidRPr="00E139D4">
        <w:rPr>
          <w:rFonts w:ascii="Calibri" w:hAnsi="Calibri" w:cs="Calibri"/>
          <w:caps/>
          <w:szCs w:val="20"/>
          <w:highlight w:val="yellow"/>
        </w:rPr>
        <w:t>completare</w:t>
      </w:r>
      <w:r w:rsidRPr="00E139D4">
        <w:rPr>
          <w:rFonts w:ascii="Calibri" w:hAnsi="Calibri" w:cs="Calibri"/>
          <w:caps/>
          <w:szCs w:val="20"/>
        </w:rPr>
        <w:t>] COMPONENTE [</w:t>
      </w:r>
      <w:r w:rsidRPr="00E139D4">
        <w:rPr>
          <w:rFonts w:ascii="Calibri" w:hAnsi="Calibri" w:cs="Calibri"/>
          <w:caps/>
          <w:szCs w:val="20"/>
          <w:highlight w:val="yellow"/>
        </w:rPr>
        <w:t>completare</w:t>
      </w:r>
      <w:r w:rsidRPr="00E139D4">
        <w:rPr>
          <w:rFonts w:ascii="Calibri" w:hAnsi="Calibri" w:cs="Calibri"/>
          <w:caps/>
          <w:szCs w:val="20"/>
        </w:rPr>
        <w:t>] INVESTIMENTO [</w:t>
      </w:r>
      <w:r w:rsidRPr="00E139D4">
        <w:rPr>
          <w:rFonts w:ascii="Calibri" w:hAnsi="Calibri" w:cs="Calibri"/>
          <w:caps/>
          <w:szCs w:val="20"/>
          <w:highlight w:val="yellow"/>
        </w:rPr>
        <w:t>completare</w:t>
      </w:r>
      <w:r w:rsidRPr="00E139D4">
        <w:rPr>
          <w:rFonts w:ascii="Calibri" w:hAnsi="Calibri" w:cs="Calibri"/>
          <w:caps/>
          <w:szCs w:val="20"/>
        </w:rPr>
        <w:t>] PROGETTO [</w:t>
      </w:r>
      <w:r w:rsidRPr="00E139D4">
        <w:rPr>
          <w:rFonts w:ascii="Calibri" w:hAnsi="Calibri" w:cs="Calibri"/>
          <w:caps/>
          <w:szCs w:val="20"/>
          <w:highlight w:val="yellow"/>
        </w:rPr>
        <w:t>ACRONIMO</w:t>
      </w:r>
      <w:r w:rsidRPr="00E139D4">
        <w:rPr>
          <w:rFonts w:ascii="Calibri" w:hAnsi="Calibri" w:cs="Calibri"/>
          <w:caps/>
          <w:szCs w:val="20"/>
        </w:rPr>
        <w:t>] CUP [</w:t>
      </w:r>
      <w:r w:rsidRPr="00E139D4">
        <w:rPr>
          <w:rFonts w:ascii="Calibri" w:hAnsi="Calibri" w:cs="Calibri"/>
          <w:caps/>
          <w:szCs w:val="20"/>
          <w:highlight w:val="yellow"/>
        </w:rPr>
        <w:t>completare</w:t>
      </w:r>
      <w:r w:rsidRPr="00E139D4">
        <w:rPr>
          <w:rFonts w:ascii="Calibri" w:hAnsi="Calibri" w:cs="Calibri"/>
          <w:caps/>
          <w:szCs w:val="20"/>
        </w:rPr>
        <w:t>] CIG [</w:t>
      </w:r>
      <w:r w:rsidRPr="00E139D4">
        <w:rPr>
          <w:rFonts w:ascii="Calibri" w:hAnsi="Calibri" w:cs="Calibri"/>
          <w:caps/>
          <w:szCs w:val="20"/>
          <w:highlight w:val="yellow"/>
        </w:rPr>
        <w:t>completare</w:t>
      </w:r>
      <w:r w:rsidRPr="00E139D4">
        <w:rPr>
          <w:rFonts w:ascii="Calibri" w:hAnsi="Calibri" w:cs="Calibri"/>
          <w:caps/>
          <w:szCs w:val="20"/>
        </w:rPr>
        <w:t>]</w:t>
      </w:r>
    </w:p>
    <w:p w14:paraId="3DC2F10B" w14:textId="77777777" w:rsidR="002B6EDF" w:rsidRDefault="002B6EDF" w:rsidP="00CA7995">
      <w:pPr>
        <w:contextualSpacing/>
        <w:jc w:val="both"/>
        <w:rPr>
          <w:rFonts w:cs="Arial"/>
          <w:smallCaps/>
          <w:bdr w:val="single" w:sz="4" w:space="0" w:color="auto"/>
        </w:rPr>
      </w:pPr>
    </w:p>
    <w:tbl>
      <w:tblPr>
        <w:tblStyle w:val="TableGrid"/>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1BBC04FE" w14:textId="44123F97" w:rsidR="005B0FA4" w:rsidRDefault="005B0FA4" w:rsidP="007024A7">
      <w:pPr>
        <w:pStyle w:val="usoboll1"/>
        <w:spacing w:line="240" w:lineRule="auto"/>
        <w:rPr>
          <w:rFonts w:ascii="Calibri" w:hAnsi="Calibri" w:cs="Arial"/>
          <w:i/>
          <w:sz w:val="20"/>
        </w:rPr>
      </w:pPr>
    </w:p>
    <w:p w14:paraId="6AE42E7F" w14:textId="1329E6EB" w:rsidR="005B0FA4" w:rsidRPr="005B0FA4" w:rsidRDefault="005B0FA4" w:rsidP="005B0FA4">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p>
    <w:p w14:paraId="4ED8A949" w14:textId="3C957DE0"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 xml:space="preserve">Consapevole </w:t>
      </w:r>
      <w:r w:rsidR="005B0FA4"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corrispondenti a verità;</w:t>
      </w:r>
    </w:p>
    <w:p w14:paraId="68E325C4" w14:textId="408A4CD7"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sidRPr="005B0FA4">
        <w:rPr>
          <w:rFonts w:ascii="Calibri" w:hAnsi="Calibri" w:cs="Arial"/>
          <w:sz w:val="22"/>
          <w:szCs w:val="22"/>
        </w:rPr>
        <w:t>onsap</w:t>
      </w:r>
      <w:r>
        <w:rPr>
          <w:rFonts w:ascii="Calibri" w:hAnsi="Calibri" w:cs="Arial"/>
          <w:sz w:val="22"/>
          <w:szCs w:val="22"/>
        </w:rPr>
        <w:t>evole</w:t>
      </w:r>
      <w:r w:rsidR="005B0FA4" w:rsidRPr="005B0FA4">
        <w:rPr>
          <w:rFonts w:ascii="Calibri" w:hAnsi="Calibri" w:cs="Arial"/>
          <w:sz w:val="22"/>
          <w:szCs w:val="22"/>
        </w:rPr>
        <w:t xml:space="preserve"> che il mancato rispetto</w:t>
      </w:r>
      <w:r>
        <w:rPr>
          <w:rFonts w:ascii="Calibri" w:hAnsi="Calibri" w:cs="Arial"/>
          <w:sz w:val="22"/>
          <w:szCs w:val="22"/>
        </w:rPr>
        <w:t xml:space="preserve"> </w:t>
      </w:r>
      <w:r w:rsidR="005B0FA4" w:rsidRPr="005B0FA4">
        <w:rPr>
          <w:rFonts w:ascii="Calibri" w:hAnsi="Calibri" w:cs="Arial"/>
          <w:sz w:val="22"/>
          <w:szCs w:val="22"/>
        </w:rPr>
        <w:t>degli obblighi in materia di lavoro delle persone con disabilità di cui alla L. 68/1999</w:t>
      </w:r>
      <w:r>
        <w:rPr>
          <w:rFonts w:ascii="Calibri" w:hAnsi="Calibri" w:cs="Arial"/>
          <w:sz w:val="22"/>
          <w:szCs w:val="22"/>
        </w:rPr>
        <w:t xml:space="preserve"> compor</w:t>
      </w:r>
      <w:r w:rsidR="00B350E4">
        <w:rPr>
          <w:rFonts w:ascii="Calibri" w:hAnsi="Calibri" w:cs="Arial"/>
          <w:sz w:val="22"/>
          <w:szCs w:val="22"/>
        </w:rPr>
        <w:t>terà la revoca dell’affidamento</w:t>
      </w:r>
      <w:r w:rsidR="005B0FA4" w:rsidRPr="005B0FA4">
        <w:rPr>
          <w:rFonts w:ascii="Calibri" w:hAnsi="Calibri" w:cs="Arial"/>
          <w:sz w:val="22"/>
          <w:szCs w:val="22"/>
        </w:rPr>
        <w:t xml:space="preserve">; </w:t>
      </w:r>
    </w:p>
    <w:p w14:paraId="479B7CA9" w14:textId="60AA4ED7" w:rsid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Pr>
          <w:rFonts w:ascii="Calibri" w:hAnsi="Calibri" w:cs="Arial"/>
          <w:sz w:val="22"/>
          <w:szCs w:val="22"/>
        </w:rPr>
        <w:t>onsapev</w:t>
      </w:r>
      <w:r>
        <w:rPr>
          <w:rFonts w:ascii="Calibri" w:hAnsi="Calibri" w:cs="Arial"/>
          <w:sz w:val="22"/>
          <w:szCs w:val="22"/>
        </w:rPr>
        <w:t>ole</w:t>
      </w:r>
      <w:r w:rsidR="005B0FA4">
        <w:rPr>
          <w:rFonts w:ascii="Calibri" w:hAnsi="Calibri" w:cs="Arial"/>
          <w:sz w:val="22"/>
          <w:szCs w:val="22"/>
        </w:rPr>
        <w:t xml:space="preserve"> che il</w:t>
      </w:r>
      <w:r w:rsidR="005B0FA4" w:rsidRPr="005B0FA4">
        <w:rPr>
          <w:rFonts w:ascii="Calibri" w:hAnsi="Calibri" w:cs="Arial"/>
          <w:sz w:val="22"/>
          <w:szCs w:val="22"/>
        </w:rPr>
        <w:t xml:space="preserve">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w:t>
      </w:r>
      <w:r>
        <w:rPr>
          <w:rFonts w:ascii="Calibri" w:hAnsi="Calibri" w:cs="Arial"/>
          <w:sz w:val="22"/>
          <w:szCs w:val="22"/>
        </w:rPr>
        <w:t>dell’affidamento</w:t>
      </w:r>
      <w:r w:rsidR="005B0FA4" w:rsidRPr="005B0FA4">
        <w:rPr>
          <w:rFonts w:ascii="Calibri" w:hAnsi="Calibri" w:cs="Arial"/>
          <w:sz w:val="22"/>
          <w:szCs w:val="22"/>
        </w:rPr>
        <w:t>, a seconda della gravità dell’inadempimento;</w:t>
      </w:r>
    </w:p>
    <w:p w14:paraId="336664BD" w14:textId="77777777" w:rsidR="005B0FA4" w:rsidRDefault="005B0FA4" w:rsidP="00CA7995">
      <w:pPr>
        <w:pStyle w:val="Heading4"/>
        <w:keepNext w:val="0"/>
        <w:widowControl w:val="0"/>
        <w:spacing w:before="0" w:after="0"/>
        <w:jc w:val="center"/>
        <w:rPr>
          <w:rFonts w:cs="Arial"/>
          <w:sz w:val="22"/>
          <w:szCs w:val="22"/>
        </w:rPr>
      </w:pPr>
    </w:p>
    <w:p w14:paraId="2F131510" w14:textId="77DFB1D2" w:rsidR="00E43BBD" w:rsidRDefault="00A17AAB" w:rsidP="00CA7995">
      <w:pPr>
        <w:pStyle w:val="Heading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AF5863"/>
    <w:p w14:paraId="72D48CE7" w14:textId="0DA05E6F"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002B6EDF" w:rsidRPr="002B6EDF">
        <w:rPr>
          <w:rFonts w:ascii="Calibri" w:hAnsi="Calibri" w:cs="Arial"/>
          <w:sz w:val="22"/>
          <w:szCs w:val="22"/>
        </w:rPr>
        <w:t xml:space="preserve"> ha assolto gli obblighi in materia di lavoro delle persone con disabilità di cui alla legge 12 marzo 1999, n. 68;</w:t>
      </w:r>
    </w:p>
    <w:p w14:paraId="5F2E7A1E" w14:textId="41340D17"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Pr="002B6EDF">
        <w:rPr>
          <w:rFonts w:ascii="Calibri" w:hAnsi="Calibri" w:cs="Arial"/>
          <w:sz w:val="22"/>
          <w:szCs w:val="22"/>
        </w:rPr>
        <w:t xml:space="preserve"> </w:t>
      </w:r>
      <w:r w:rsidR="002B6EDF" w:rsidRPr="002B6EDF">
        <w:rPr>
          <w:rFonts w:ascii="Calibri" w:hAnsi="Calibri" w:cs="Arial"/>
          <w:sz w:val="22"/>
          <w:szCs w:val="22"/>
        </w:rPr>
        <w:t xml:space="preserve">ai sensi di quanto disposto dall’art. 47, comma 4, del D.L. 77/2021, in caso di </w:t>
      </w:r>
      <w:r>
        <w:rPr>
          <w:rFonts w:ascii="Calibri" w:hAnsi="Calibri" w:cs="Arial"/>
          <w:sz w:val="22"/>
          <w:szCs w:val="22"/>
        </w:rPr>
        <w:t>affidamento</w:t>
      </w:r>
      <w:r w:rsidR="002B6EDF" w:rsidRPr="002B6EDF">
        <w:rPr>
          <w:rFonts w:ascii="Calibri" w:hAnsi="Calibri" w:cs="Arial"/>
          <w:sz w:val="22"/>
          <w:szCs w:val="22"/>
        </w:rPr>
        <w:t>, ove per l’esecuzione del contratto medesimo o per la realizzazione di attività ad esso connesse o strumentali, fosse necessario procedere con nuove assunzioni in numero pari o superi</w:t>
      </w:r>
      <w:r>
        <w:rPr>
          <w:rFonts w:ascii="Calibri" w:hAnsi="Calibri" w:cs="Arial"/>
          <w:sz w:val="22"/>
          <w:szCs w:val="22"/>
        </w:rPr>
        <w:t>ore a tre unità, assume</w:t>
      </w:r>
      <w:r w:rsidR="002B6EDF" w:rsidRPr="002B6EDF">
        <w:rPr>
          <w:rFonts w:ascii="Calibri" w:hAnsi="Calibri" w:cs="Arial"/>
          <w:sz w:val="22"/>
          <w:szCs w:val="22"/>
        </w:rPr>
        <w:t xml:space="preserve"> l’obbligo di assicurare una quota pari:</w:t>
      </w:r>
    </w:p>
    <w:p w14:paraId="150FC903" w14:textId="7933C1E7" w:rsidR="002B6EDF"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 xml:space="preserve">almeno al 30% delle nuove assunzioni necessarie all’occupazione giovanile; </w:t>
      </w:r>
    </w:p>
    <w:p w14:paraId="60E6522E" w14:textId="353DC6A0" w:rsidR="009E0BD0"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almeno al 30% delle nuove assunzioni necessarie all’occupazione femminile.</w:t>
      </w:r>
    </w:p>
    <w:p w14:paraId="53E2B206" w14:textId="77777777" w:rsidR="002B6EDF" w:rsidRDefault="002B6EDF" w:rsidP="002B6EDF">
      <w:pPr>
        <w:widowControl w:val="0"/>
        <w:jc w:val="both"/>
        <w:rPr>
          <w:rFonts w:cs="Arial"/>
          <w:b/>
          <w:i/>
          <w:u w:val="single"/>
        </w:rPr>
      </w:pPr>
    </w:p>
    <w:p w14:paraId="30D90D3E" w14:textId="0EC4596E" w:rsidR="009E0BD0" w:rsidRDefault="00516C28" w:rsidP="00516C28">
      <w:pPr>
        <w:widowControl w:val="0"/>
        <w:jc w:val="right"/>
        <w:rPr>
          <w:rFonts w:cstheme="minorHAnsi"/>
          <w:szCs w:val="20"/>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1"/>
      </w:r>
      <w:r w:rsidRPr="008D4146">
        <w:rPr>
          <w:rFonts w:cstheme="minorHAnsi"/>
          <w:szCs w:val="20"/>
        </w:rPr>
        <w:t xml:space="preserve"> del legale rappresentante/procuratore</w:t>
      </w:r>
      <w:bookmarkStart w:id="0" w:name="_Ref41906052"/>
      <w:r>
        <w:rPr>
          <w:rStyle w:val="FootnoteReference"/>
          <w:rFonts w:cstheme="minorHAnsi"/>
          <w:szCs w:val="20"/>
        </w:rPr>
        <w:footnoteReference w:id="2"/>
      </w:r>
      <w:bookmarkEnd w:id="0"/>
      <w:r w:rsidR="002B6EDF">
        <w:rPr>
          <w:rFonts w:cstheme="minorHAnsi"/>
          <w:szCs w:val="20"/>
        </w:rPr>
        <w:t xml:space="preserve"> di tutti i sottoscrittori</w:t>
      </w:r>
    </w:p>
    <w:p w14:paraId="1DA79B11" w14:textId="3EF6F5A1" w:rsidR="009C6A38" w:rsidRDefault="009C6A38" w:rsidP="009C6A38">
      <w:pPr>
        <w:widowControl w:val="0"/>
        <w:rPr>
          <w:rFonts w:cs="Arial"/>
        </w:rPr>
      </w:pPr>
    </w:p>
    <w:p w14:paraId="2339ECA5" w14:textId="0EA5C7B6" w:rsidR="009C6A38" w:rsidRDefault="009C6A38" w:rsidP="009C6A38">
      <w:pPr>
        <w:widowControl w:val="0"/>
        <w:rPr>
          <w:rFonts w:cs="Arial"/>
        </w:rPr>
      </w:pPr>
    </w:p>
    <w:p w14:paraId="08EB395B" w14:textId="04BED77B" w:rsidR="009C6A38" w:rsidRDefault="009C6A38" w:rsidP="009C6A38">
      <w:pPr>
        <w:widowControl w:val="0"/>
        <w:rPr>
          <w:rFonts w:cs="Arial"/>
        </w:rPr>
      </w:pPr>
    </w:p>
    <w:p w14:paraId="285D4720" w14:textId="7B2AF7A8" w:rsidR="009C6A38" w:rsidRDefault="009C6A38" w:rsidP="009C6A38">
      <w:pPr>
        <w:widowControl w:val="0"/>
        <w:rPr>
          <w:rFonts w:cs="Arial"/>
        </w:rPr>
      </w:pPr>
    </w:p>
    <w:p w14:paraId="3A6BD713" w14:textId="2DD1D541" w:rsidR="009C6A38" w:rsidRDefault="009C6A38" w:rsidP="009C6A38">
      <w:pPr>
        <w:widowControl w:val="0"/>
        <w:rPr>
          <w:rFonts w:cs="Arial"/>
        </w:rPr>
      </w:pPr>
    </w:p>
    <w:p w14:paraId="65EEEF9C" w14:textId="35732B3E" w:rsidR="009C6A38" w:rsidRDefault="009C6A38" w:rsidP="009C6A38">
      <w:pPr>
        <w:widowControl w:val="0"/>
        <w:rPr>
          <w:rFonts w:cs="Arial"/>
        </w:rPr>
      </w:pPr>
    </w:p>
    <w:p w14:paraId="1E4EBC2C" w14:textId="38C27284" w:rsidR="007024A7" w:rsidRDefault="007024A7">
      <w:pPr>
        <w:rPr>
          <w:rFonts w:cs="Arial"/>
        </w:rPr>
      </w:pPr>
      <w:r>
        <w:rPr>
          <w:rFonts w:cs="Arial"/>
        </w:rPr>
        <w:br w:type="page"/>
      </w:r>
    </w:p>
    <w:p w14:paraId="16AFF8C3" w14:textId="77777777" w:rsidR="009C6A38" w:rsidRDefault="009C6A38" w:rsidP="009C6A38">
      <w:pPr>
        <w:widowControl w:val="0"/>
        <w:rPr>
          <w:rFonts w:cs="Arial"/>
        </w:rPr>
      </w:pPr>
    </w:p>
    <w:p w14:paraId="78EF900E" w14:textId="77777777" w:rsidR="009C6A38" w:rsidRDefault="009C6A38" w:rsidP="009C6A38">
      <w:pPr>
        <w:widowControl w:val="0"/>
        <w:rPr>
          <w:rFonts w:cs="Arial"/>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9C6A38" w:rsidRPr="009C6A38" w14:paraId="5955F711" w14:textId="77777777" w:rsidTr="00CC6E69">
        <w:tc>
          <w:tcPr>
            <w:tcW w:w="9428" w:type="dxa"/>
          </w:tcPr>
          <w:p w14:paraId="6BDF918F" w14:textId="77777777" w:rsidR="009C6A38" w:rsidRPr="009C6A38" w:rsidRDefault="009C6A38" w:rsidP="00CC6E69">
            <w:pPr>
              <w:adjustRightInd w:val="0"/>
              <w:jc w:val="both"/>
              <w:rPr>
                <w:rFonts w:cstheme="minorHAnsi"/>
                <w:szCs w:val="20"/>
              </w:rPr>
            </w:pPr>
          </w:p>
          <w:p w14:paraId="7AE01408" w14:textId="21889E51" w:rsidR="009C6A38" w:rsidRPr="009C6A38" w:rsidRDefault="009C6A38" w:rsidP="00CC6E69">
            <w:pPr>
              <w:adjustRightInd w:val="0"/>
              <w:jc w:val="center"/>
              <w:rPr>
                <w:rFonts w:cstheme="minorHAnsi"/>
                <w:b/>
                <w:szCs w:val="20"/>
              </w:rPr>
            </w:pPr>
            <w:r w:rsidRPr="009C6A38">
              <w:rPr>
                <w:rFonts w:cstheme="minorHAnsi"/>
                <w:b/>
                <w:szCs w:val="20"/>
              </w:rPr>
              <w:t>CHIARIMENTI</w:t>
            </w:r>
          </w:p>
          <w:p w14:paraId="016D6521" w14:textId="77777777" w:rsidR="009C6A38" w:rsidRPr="009C6A38" w:rsidRDefault="009C6A38" w:rsidP="00CC6E69">
            <w:pPr>
              <w:adjustRightInd w:val="0"/>
              <w:jc w:val="center"/>
              <w:rPr>
                <w:rFonts w:cstheme="minorHAnsi"/>
                <w:b/>
                <w:szCs w:val="20"/>
              </w:rPr>
            </w:pPr>
          </w:p>
          <w:p w14:paraId="5CCD5DF5" w14:textId="7D7E86D4" w:rsidR="009C6A38" w:rsidRPr="009C6A38" w:rsidRDefault="009C6A38" w:rsidP="00CC6E69">
            <w:pPr>
              <w:adjustRightInd w:val="0"/>
              <w:jc w:val="both"/>
              <w:rPr>
                <w:rFonts w:cstheme="minorHAnsi"/>
                <w:szCs w:val="20"/>
              </w:rPr>
            </w:pPr>
            <w:r>
              <w:rPr>
                <w:rFonts w:cstheme="minorHAnsi"/>
                <w:szCs w:val="20"/>
              </w:rPr>
              <w:t xml:space="preserve">1) </w:t>
            </w:r>
            <w:r w:rsidRPr="009C6A38">
              <w:rPr>
                <w:rFonts w:cstheme="minorHAnsi"/>
                <w:szCs w:val="20"/>
              </w:rPr>
              <w:t>Come precisato nelle Linee guida approvate con Decreto della Presidenza del Consiglio dei Ministri – Dipartimento Pari Opportunità, 7/12/2021 (G.U.R.I. 30/12/2021), gli obiettivi di incremento occupazionale giovanile e di</w:t>
            </w:r>
            <w:r>
              <w:rPr>
                <w:rFonts w:cstheme="minorHAnsi"/>
                <w:szCs w:val="20"/>
              </w:rPr>
              <w:t xml:space="preserve"> </w:t>
            </w:r>
            <w:r w:rsidRPr="009C6A38">
              <w:rPr>
                <w:rFonts w:cstheme="minorHAnsi"/>
                <w:szCs w:val="20"/>
              </w:rPr>
              <w:t>genere</w:t>
            </w:r>
            <w:r>
              <w:rPr>
                <w:rFonts w:cstheme="minorHAnsi"/>
                <w:szCs w:val="20"/>
              </w:rPr>
              <w:t xml:space="preserve"> </w:t>
            </w:r>
            <w:r w:rsidRPr="009C6A38">
              <w:rPr>
                <w:rFonts w:cstheme="minorHAnsi"/>
                <w:szCs w:val="20"/>
              </w:rPr>
              <w:t>che si intendono perseguire con le risorse previste dal Regolamento</w:t>
            </w:r>
            <w:r>
              <w:rPr>
                <w:rFonts w:cstheme="minorHAnsi"/>
                <w:szCs w:val="20"/>
              </w:rPr>
              <w:t xml:space="preserve"> </w:t>
            </w:r>
            <w:r w:rsidRPr="009C6A38">
              <w:rPr>
                <w:rFonts w:cstheme="minorHAnsi"/>
                <w:szCs w:val="20"/>
              </w:rPr>
              <w:t>(UE) 2021/240 del Parlamento europeo e del Consiglio del 10 febbraio</w:t>
            </w:r>
            <w:r>
              <w:rPr>
                <w:rFonts w:cstheme="minorHAnsi"/>
                <w:szCs w:val="20"/>
              </w:rPr>
              <w:t xml:space="preserve"> </w:t>
            </w:r>
            <w:r w:rsidRPr="009C6A38">
              <w:rPr>
                <w:rFonts w:cstheme="minorHAnsi"/>
                <w:szCs w:val="20"/>
              </w:rPr>
              <w:t>2021 e</w:t>
            </w:r>
            <w:r>
              <w:rPr>
                <w:rFonts w:cstheme="minorHAnsi"/>
                <w:szCs w:val="20"/>
              </w:rPr>
              <w:t xml:space="preserve"> </w:t>
            </w:r>
            <w:r w:rsidRPr="009C6A38">
              <w:rPr>
                <w:rFonts w:cstheme="minorHAnsi"/>
                <w:szCs w:val="20"/>
              </w:rPr>
              <w:t>dal</w:t>
            </w:r>
            <w:r>
              <w:rPr>
                <w:rFonts w:cstheme="minorHAnsi"/>
                <w:szCs w:val="20"/>
              </w:rPr>
              <w:t xml:space="preserve"> </w:t>
            </w:r>
            <w:r w:rsidRPr="009C6A38">
              <w:rPr>
                <w:rFonts w:cstheme="minorHAnsi"/>
                <w:szCs w:val="20"/>
              </w:rPr>
              <w:t>Regolamento</w:t>
            </w:r>
            <w:r>
              <w:rPr>
                <w:rFonts w:cstheme="minorHAnsi"/>
                <w:szCs w:val="20"/>
              </w:rPr>
              <w:t xml:space="preserve"> </w:t>
            </w:r>
            <w:r w:rsidRPr="009C6A38">
              <w:rPr>
                <w:rFonts w:cstheme="minorHAnsi"/>
                <w:szCs w:val="20"/>
              </w:rPr>
              <w:t>(UE)</w:t>
            </w:r>
            <w:r>
              <w:rPr>
                <w:rFonts w:cstheme="minorHAnsi"/>
                <w:szCs w:val="20"/>
              </w:rPr>
              <w:t xml:space="preserve"> </w:t>
            </w:r>
            <w:r w:rsidRPr="009C6A38">
              <w:rPr>
                <w:rFonts w:cstheme="minorHAnsi"/>
                <w:szCs w:val="20"/>
              </w:rPr>
              <w:t>2021/241</w:t>
            </w:r>
            <w:r>
              <w:rPr>
                <w:rFonts w:cstheme="minorHAnsi"/>
                <w:szCs w:val="20"/>
              </w:rPr>
              <w:t xml:space="preserve"> </w:t>
            </w:r>
            <w:r w:rsidRPr="009C6A38">
              <w:rPr>
                <w:rFonts w:cstheme="minorHAnsi"/>
                <w:szCs w:val="20"/>
              </w:rPr>
              <w:t>del</w:t>
            </w:r>
            <w:r>
              <w:rPr>
                <w:rFonts w:cstheme="minorHAnsi"/>
                <w:szCs w:val="20"/>
              </w:rPr>
              <w:t xml:space="preserve"> </w:t>
            </w:r>
            <w:r w:rsidRPr="009C6A38">
              <w:rPr>
                <w:rFonts w:cstheme="minorHAnsi"/>
                <w:szCs w:val="20"/>
              </w:rPr>
              <w:t>Parlamento</w:t>
            </w:r>
            <w:r>
              <w:rPr>
                <w:rFonts w:cstheme="minorHAnsi"/>
                <w:szCs w:val="20"/>
              </w:rPr>
              <w:t xml:space="preserve"> </w:t>
            </w:r>
            <w:r w:rsidRPr="009C6A38">
              <w:rPr>
                <w:rFonts w:cstheme="minorHAnsi"/>
                <w:szCs w:val="20"/>
              </w:rPr>
              <w:t>europeo</w:t>
            </w:r>
            <w:r>
              <w:rPr>
                <w:rFonts w:cstheme="minorHAnsi"/>
                <w:szCs w:val="20"/>
              </w:rPr>
              <w:t xml:space="preserve"> </w:t>
            </w:r>
            <w:r w:rsidRPr="009C6A38">
              <w:rPr>
                <w:rFonts w:cstheme="minorHAnsi"/>
                <w:szCs w:val="20"/>
              </w:rPr>
              <w:t>e</w:t>
            </w:r>
            <w:r>
              <w:rPr>
                <w:rFonts w:cstheme="minorHAnsi"/>
                <w:szCs w:val="20"/>
              </w:rPr>
              <w:t xml:space="preserve"> </w:t>
            </w:r>
            <w:r w:rsidRPr="009C6A38">
              <w:rPr>
                <w:rFonts w:cstheme="minorHAnsi"/>
                <w:szCs w:val="20"/>
              </w:rPr>
              <w:t>del Consiglio del 12 febbraio 2021, nonchè dal</w:t>
            </w:r>
            <w:r>
              <w:rPr>
                <w:rFonts w:cstheme="minorHAnsi"/>
                <w:szCs w:val="20"/>
              </w:rPr>
              <w:t xml:space="preserve"> </w:t>
            </w:r>
            <w:r w:rsidRPr="009C6A38">
              <w:rPr>
                <w:rFonts w:cstheme="minorHAnsi"/>
                <w:szCs w:val="20"/>
              </w:rPr>
              <w:t>PNC,</w:t>
            </w:r>
            <w:r>
              <w:rPr>
                <w:rFonts w:cstheme="minorHAnsi"/>
                <w:szCs w:val="20"/>
              </w:rPr>
              <w:t xml:space="preserve"> </w:t>
            </w:r>
            <w:r w:rsidRPr="009C6A38">
              <w:rPr>
                <w:rFonts w:cstheme="minorHAnsi"/>
                <w:szCs w:val="20"/>
              </w:rPr>
              <w:t>costituiscono</w:t>
            </w:r>
            <w:r>
              <w:rPr>
                <w:rFonts w:cstheme="minorHAnsi"/>
                <w:szCs w:val="20"/>
              </w:rPr>
              <w:t xml:space="preserve"> </w:t>
            </w:r>
            <w:r w:rsidRPr="009C6A38">
              <w:rPr>
                <w:rFonts w:cstheme="minorHAnsi"/>
                <w:szCs w:val="20"/>
              </w:rPr>
              <w:t>due</w:t>
            </w:r>
            <w:r>
              <w:rPr>
                <w:rFonts w:cstheme="minorHAnsi"/>
                <w:szCs w:val="20"/>
              </w:rPr>
              <w:t xml:space="preserve"> distinti target di policy. Ciò significa </w:t>
            </w:r>
            <w:r w:rsidRPr="009C6A38">
              <w:rPr>
                <w:rFonts w:cstheme="minorHAnsi"/>
                <w:szCs w:val="20"/>
              </w:rPr>
              <w:t>che</w:t>
            </w:r>
            <w:r>
              <w:rPr>
                <w:rFonts w:cstheme="minorHAnsi"/>
                <w:szCs w:val="20"/>
              </w:rPr>
              <w:t xml:space="preserve"> </w:t>
            </w:r>
            <w:r w:rsidRPr="009C6A38">
              <w:rPr>
                <w:rFonts w:cstheme="minorHAnsi"/>
                <w:szCs w:val="20"/>
              </w:rPr>
              <w:t>nelle</w:t>
            </w:r>
            <w:r>
              <w:rPr>
                <w:rFonts w:cstheme="minorHAnsi"/>
                <w:szCs w:val="20"/>
              </w:rPr>
              <w:t xml:space="preserve"> </w:t>
            </w:r>
            <w:r w:rsidRPr="009C6A38">
              <w:rPr>
                <w:rFonts w:cstheme="minorHAnsi"/>
                <w:szCs w:val="20"/>
              </w:rPr>
              <w:t>procedure</w:t>
            </w:r>
            <w:r>
              <w:rPr>
                <w:rFonts w:cstheme="minorHAnsi"/>
                <w:szCs w:val="20"/>
              </w:rPr>
              <w:t xml:space="preserve"> </w:t>
            </w:r>
            <w:r w:rsidRPr="009C6A38">
              <w:rPr>
                <w:rFonts w:cstheme="minorHAnsi"/>
                <w:szCs w:val="20"/>
              </w:rPr>
              <w:t>di affidamento si</w:t>
            </w:r>
            <w:r>
              <w:rPr>
                <w:rFonts w:cstheme="minorHAnsi"/>
                <w:szCs w:val="20"/>
              </w:rPr>
              <w:t xml:space="preserve"> </w:t>
            </w:r>
            <w:r w:rsidRPr="009C6A38">
              <w:rPr>
                <w:rFonts w:cstheme="minorHAnsi"/>
                <w:szCs w:val="20"/>
              </w:rPr>
              <w:t>deve</w:t>
            </w:r>
            <w:r>
              <w:rPr>
                <w:rFonts w:cstheme="minorHAnsi"/>
                <w:szCs w:val="20"/>
              </w:rPr>
              <w:t xml:space="preserve"> </w:t>
            </w:r>
            <w:r w:rsidRPr="009C6A38">
              <w:rPr>
                <w:rFonts w:cstheme="minorHAnsi"/>
                <w:szCs w:val="20"/>
              </w:rPr>
              <w:t>intendere</w:t>
            </w:r>
            <w:r>
              <w:rPr>
                <w:rFonts w:cstheme="minorHAnsi"/>
                <w:szCs w:val="20"/>
              </w:rPr>
              <w:t xml:space="preserve"> </w:t>
            </w:r>
            <w:r w:rsidRPr="009C6A38">
              <w:rPr>
                <w:rFonts w:cstheme="minorHAnsi"/>
                <w:szCs w:val="20"/>
              </w:rPr>
              <w:t>autonomo</w:t>
            </w:r>
            <w:r>
              <w:rPr>
                <w:rFonts w:cstheme="minorHAnsi"/>
                <w:szCs w:val="20"/>
              </w:rPr>
              <w:t xml:space="preserve"> </w:t>
            </w:r>
            <w:r w:rsidRPr="009C6A38">
              <w:rPr>
                <w:rFonts w:cstheme="minorHAnsi"/>
                <w:szCs w:val="20"/>
              </w:rPr>
              <w:t>il</w:t>
            </w:r>
            <w:r>
              <w:rPr>
                <w:rFonts w:cstheme="minorHAnsi"/>
                <w:szCs w:val="20"/>
              </w:rPr>
              <w:t xml:space="preserve"> </w:t>
            </w:r>
            <w:r w:rsidRPr="009C6A38">
              <w:rPr>
                <w:rFonts w:cstheme="minorHAnsi"/>
                <w:szCs w:val="20"/>
              </w:rPr>
              <w:t>target</w:t>
            </w:r>
            <w:r>
              <w:rPr>
                <w:rFonts w:cstheme="minorHAnsi"/>
                <w:szCs w:val="20"/>
              </w:rPr>
              <w:t xml:space="preserve"> </w:t>
            </w:r>
            <w:r w:rsidRPr="009C6A38">
              <w:rPr>
                <w:rFonts w:cstheme="minorHAnsi"/>
                <w:szCs w:val="20"/>
              </w:rPr>
              <w:t>di</w:t>
            </w:r>
            <w:r>
              <w:rPr>
                <w:rFonts w:cstheme="minorHAnsi"/>
                <w:szCs w:val="20"/>
              </w:rPr>
              <w:t xml:space="preserve"> </w:t>
            </w:r>
            <w:r w:rsidRPr="009C6A38">
              <w:rPr>
                <w:rFonts w:cstheme="minorHAnsi"/>
                <w:szCs w:val="20"/>
              </w:rPr>
              <w:t>incremento dell'occupazione</w:t>
            </w:r>
            <w:r>
              <w:rPr>
                <w:rFonts w:cstheme="minorHAnsi"/>
                <w:szCs w:val="20"/>
              </w:rPr>
              <w:t xml:space="preserve"> </w:t>
            </w:r>
            <w:r w:rsidRPr="009C6A38">
              <w:rPr>
                <w:rFonts w:cstheme="minorHAnsi"/>
                <w:szCs w:val="20"/>
              </w:rPr>
              <w:t>giovanile</w:t>
            </w:r>
            <w:r>
              <w:rPr>
                <w:rFonts w:cstheme="minorHAnsi"/>
                <w:szCs w:val="20"/>
              </w:rPr>
              <w:t xml:space="preserve"> </w:t>
            </w:r>
            <w:r w:rsidRPr="009C6A38">
              <w:rPr>
                <w:rFonts w:cstheme="minorHAnsi"/>
                <w:szCs w:val="20"/>
              </w:rPr>
              <w:t>rispetto</w:t>
            </w:r>
            <w:r>
              <w:rPr>
                <w:rFonts w:cstheme="minorHAnsi"/>
                <w:szCs w:val="20"/>
              </w:rPr>
              <w:t xml:space="preserve"> </w:t>
            </w:r>
            <w:r w:rsidRPr="009C6A38">
              <w:rPr>
                <w:rFonts w:cstheme="minorHAnsi"/>
                <w:szCs w:val="20"/>
              </w:rPr>
              <w:t>a</w:t>
            </w:r>
            <w:r>
              <w:rPr>
                <w:rFonts w:cstheme="minorHAnsi"/>
                <w:szCs w:val="20"/>
              </w:rPr>
              <w:t xml:space="preserve"> </w:t>
            </w:r>
            <w:r w:rsidRPr="009C6A38">
              <w:rPr>
                <w:rFonts w:cstheme="minorHAnsi"/>
                <w:szCs w:val="20"/>
              </w:rPr>
              <w:t>quello</w:t>
            </w:r>
            <w:r>
              <w:rPr>
                <w:rFonts w:cstheme="minorHAnsi"/>
                <w:szCs w:val="20"/>
              </w:rPr>
              <w:t xml:space="preserve"> </w:t>
            </w:r>
            <w:r w:rsidRPr="009C6A38">
              <w:rPr>
                <w:rFonts w:cstheme="minorHAnsi"/>
                <w:szCs w:val="20"/>
              </w:rPr>
              <w:t>dell'occ</w:t>
            </w:r>
            <w:r>
              <w:rPr>
                <w:rFonts w:cstheme="minorHAnsi"/>
                <w:szCs w:val="20"/>
              </w:rPr>
              <w:t>upazione femminile. L'obbligo è</w:t>
            </w:r>
            <w:r w:rsidRPr="009C6A38">
              <w:rPr>
                <w:rFonts w:cstheme="minorHAnsi"/>
                <w:szCs w:val="20"/>
              </w:rPr>
              <w:t xml:space="preserve"> finalizzato a garantire un incremento sia dei lavoratori giovani sia delle lavoratrici e pertanto la percentuale di incremento deve essere assicurata con riferimento ad entrambe le tipologie. </w:t>
            </w:r>
          </w:p>
          <w:p w14:paraId="4D9A57F8" w14:textId="40A20404" w:rsidR="009C6A38" w:rsidRPr="009C6A38" w:rsidRDefault="009C6A38" w:rsidP="00CC6E69">
            <w:pPr>
              <w:widowControl w:val="0"/>
              <w:jc w:val="both"/>
              <w:rPr>
                <w:rFonts w:cstheme="minorHAnsi"/>
                <w:szCs w:val="20"/>
              </w:rPr>
            </w:pPr>
            <w:r w:rsidRPr="009C6A38">
              <w:rPr>
                <w:rFonts w:cstheme="minorHAnsi"/>
                <w:szCs w:val="20"/>
              </w:rPr>
              <w:t xml:space="preserve">Fatte salve le deroghe di cui al comma 7, va dunque, ad esempio, esclusa un'azienda che si impegna all'incremento del 30 per cento </w:t>
            </w:r>
            <w:r>
              <w:rPr>
                <w:rFonts w:cstheme="minorHAnsi"/>
                <w:szCs w:val="20"/>
              </w:rPr>
              <w:t>ottenuto</w:t>
            </w:r>
            <w:r w:rsidRPr="009C6A38">
              <w:rPr>
                <w:rFonts w:cstheme="minorHAnsi"/>
                <w:szCs w:val="20"/>
              </w:rPr>
              <w:t xml:space="preserve"> con il 20 per cento di giovani e il 10 per cento di donne, salvo che queste percentuali non rispecchino i criteri per l'applicazione delle deroghe indicati </w:t>
            </w:r>
            <w:r>
              <w:rPr>
                <w:rFonts w:cstheme="minorHAnsi"/>
                <w:szCs w:val="20"/>
              </w:rPr>
              <w:t>nel</w:t>
            </w:r>
            <w:r w:rsidRPr="009C6A38">
              <w:rPr>
                <w:rFonts w:cstheme="minorHAnsi"/>
                <w:szCs w:val="20"/>
              </w:rPr>
              <w:t xml:space="preserve"> seguito. Diversam</w:t>
            </w:r>
            <w:r>
              <w:rPr>
                <w:rFonts w:cstheme="minorHAnsi"/>
                <w:szCs w:val="20"/>
              </w:rPr>
              <w:t>ente va</w:t>
            </w:r>
            <w:r w:rsidRPr="009C6A38">
              <w:rPr>
                <w:rFonts w:cstheme="minorHAnsi"/>
                <w:szCs w:val="20"/>
              </w:rPr>
              <w:t xml:space="preserve"> ammessa</w:t>
            </w:r>
            <w:r>
              <w:rPr>
                <w:rFonts w:cstheme="minorHAnsi"/>
                <w:szCs w:val="20"/>
              </w:rPr>
              <w:t>, ad esempio,</w:t>
            </w:r>
            <w:r w:rsidRPr="009C6A38">
              <w:rPr>
                <w:rFonts w:cstheme="minorHAnsi"/>
                <w:szCs w:val="20"/>
              </w:rPr>
              <w:t xml:space="preserve"> l'azienda che garantisce l'impegno con assunzioni che, sebbene nominalmente non</w:t>
            </w:r>
            <w:r>
              <w:rPr>
                <w:rFonts w:cstheme="minorHAnsi"/>
                <w:szCs w:val="20"/>
              </w:rPr>
              <w:t xml:space="preserve"> </w:t>
            </w:r>
            <w:r w:rsidRPr="009C6A38">
              <w:rPr>
                <w:rFonts w:cstheme="minorHAnsi"/>
                <w:szCs w:val="20"/>
              </w:rPr>
              <w:t xml:space="preserve">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w:t>
            </w:r>
            <w:r w:rsidR="00BD33E1">
              <w:rPr>
                <w:rFonts w:cstheme="minorHAnsi"/>
                <w:szCs w:val="20"/>
              </w:rPr>
              <w:t>i dettagli operativo sulle modalità di</w:t>
            </w:r>
            <w:r w:rsidRPr="009C6A38">
              <w:rPr>
                <w:rFonts w:cstheme="minorHAnsi"/>
                <w:szCs w:val="20"/>
              </w:rPr>
              <w:t xml:space="preserve"> calcolo, si rinvia alle </w:t>
            </w:r>
            <w:r>
              <w:rPr>
                <w:rFonts w:cstheme="minorHAnsi"/>
                <w:szCs w:val="20"/>
              </w:rPr>
              <w:t xml:space="preserve">già citate </w:t>
            </w:r>
            <w:r w:rsidRPr="009C6A38">
              <w:rPr>
                <w:rFonts w:cstheme="minorHAnsi"/>
                <w:szCs w:val="20"/>
              </w:rPr>
              <w:t>linee guida.</w:t>
            </w:r>
          </w:p>
          <w:p w14:paraId="4F6476D7" w14:textId="77777777" w:rsidR="009C6A38" w:rsidRPr="009C6A38" w:rsidRDefault="009C6A38" w:rsidP="00CC6E69">
            <w:pPr>
              <w:adjustRightInd w:val="0"/>
              <w:jc w:val="center"/>
              <w:rPr>
                <w:rFonts w:cstheme="minorHAnsi"/>
                <w:b/>
                <w:szCs w:val="20"/>
              </w:rPr>
            </w:pPr>
          </w:p>
          <w:p w14:paraId="5C2FF0C4" w14:textId="7DEFCAB1" w:rsidR="009C6A38" w:rsidRPr="009C6A38" w:rsidRDefault="009C6A38" w:rsidP="00CC6E69">
            <w:pPr>
              <w:pStyle w:val="FootnoteText"/>
              <w:jc w:val="both"/>
              <w:rPr>
                <w:rFonts w:asciiTheme="minorHAnsi" w:hAnsiTheme="minorHAnsi" w:cstheme="minorHAnsi"/>
              </w:rPr>
            </w:pPr>
            <w:r>
              <w:rPr>
                <w:rFonts w:asciiTheme="minorHAnsi" w:hAnsiTheme="minorHAnsi" w:cstheme="minorHAnsi"/>
              </w:rPr>
              <w:t xml:space="preserve">2) </w:t>
            </w:r>
            <w:r w:rsidRPr="009C6A38">
              <w:rPr>
                <w:rFonts w:asciiTheme="minorHAnsi" w:hAnsiTheme="minorHAnsi" w:cstheme="minorHAnsi"/>
              </w:rPr>
              <w:t xml:space="preserve">Al fine di evitare che l’assunzione dell’obbligo in dichiarazione possa disincentivare la partecipazione o, ancora, determinare negli operatori il convincimento a non allegare la dichiarazione, che costituisce requisito necessario dell’offerta, passibile di esclusione, si ritiene </w:t>
            </w:r>
            <w:r>
              <w:rPr>
                <w:rFonts w:asciiTheme="minorHAnsi" w:hAnsiTheme="minorHAnsi" w:cstheme="minorHAnsi"/>
              </w:rPr>
              <w:t>di dover</w:t>
            </w:r>
            <w:r w:rsidRPr="009C6A38">
              <w:rPr>
                <w:rFonts w:asciiTheme="minorHAnsi" w:hAnsiTheme="minorHAnsi" w:cstheme="minorHAnsi"/>
              </w:rPr>
              <w:t xml:space="preserve"> riportare, ad integrazione di quanto indicato nelle</w:t>
            </w:r>
            <w:r>
              <w:rPr>
                <w:rFonts w:asciiTheme="minorHAnsi" w:hAnsiTheme="minorHAnsi" w:cstheme="minorHAnsi"/>
              </w:rPr>
              <w:t xml:space="preserve"> già citate</w:t>
            </w:r>
            <w:r w:rsidRPr="009C6A38">
              <w:rPr>
                <w:rFonts w:asciiTheme="minorHAnsi" w:hAnsiTheme="minorHAnsi" w:cstheme="minorHAnsi"/>
              </w:rPr>
              <w:t xml:space="preserve"> linee guida, </w:t>
            </w:r>
            <w:r>
              <w:rPr>
                <w:rFonts w:asciiTheme="minorHAnsi" w:hAnsiTheme="minorHAnsi" w:cstheme="minorHAnsi"/>
              </w:rPr>
              <w:t>la risposta data al quesito sottostante da</w:t>
            </w:r>
            <w:r w:rsidRPr="009C6A38">
              <w:rPr>
                <w:rFonts w:asciiTheme="minorHAnsi" w:hAnsiTheme="minorHAnsi" w:cstheme="minorHAnsi"/>
              </w:rPr>
              <w:t xml:space="preserve">l Servizio Supporto Giuridico del MIT </w:t>
            </w:r>
            <w:r>
              <w:rPr>
                <w:rFonts w:asciiTheme="minorHAnsi" w:hAnsiTheme="minorHAnsi" w:cstheme="minorHAnsi"/>
              </w:rPr>
              <w:t>(C</w:t>
            </w:r>
            <w:r w:rsidRPr="009C6A38">
              <w:rPr>
                <w:rFonts w:asciiTheme="minorHAnsi" w:hAnsiTheme="minorHAnsi" w:cstheme="minorHAnsi"/>
              </w:rPr>
              <w:t>odice identificativo: 1133 Data ricezione:</w:t>
            </w:r>
            <w:r>
              <w:rPr>
                <w:rFonts w:asciiTheme="minorHAnsi" w:hAnsiTheme="minorHAnsi" w:cstheme="minorHAnsi"/>
              </w:rPr>
              <w:t xml:space="preserve"> </w:t>
            </w:r>
            <w:r w:rsidRPr="009C6A38">
              <w:rPr>
                <w:rFonts w:asciiTheme="minorHAnsi" w:hAnsiTheme="minorHAnsi" w:cstheme="minorHAnsi"/>
              </w:rPr>
              <w:t>12/01/</w:t>
            </w:r>
            <w:r>
              <w:rPr>
                <w:rFonts w:asciiTheme="minorHAnsi" w:hAnsiTheme="minorHAnsi" w:cstheme="minorHAnsi"/>
              </w:rPr>
              <w:t xml:space="preserve">2022 </w:t>
            </w:r>
            <w:r w:rsidRPr="009C6A38">
              <w:rPr>
                <w:rFonts w:asciiTheme="minorHAnsi" w:hAnsiTheme="minorHAnsi" w:cstheme="minorHAnsi"/>
              </w:rPr>
              <w:t>Argomento: Appalti PNRR e PNC</w:t>
            </w:r>
            <w:r>
              <w:rPr>
                <w:rFonts w:asciiTheme="minorHAnsi" w:hAnsiTheme="minorHAnsi" w:cstheme="minorHAnsi"/>
              </w:rPr>
              <w:t>)</w:t>
            </w:r>
            <w:r w:rsidRPr="009C6A38">
              <w:rPr>
                <w:rFonts w:asciiTheme="minorHAnsi" w:hAnsiTheme="minorHAnsi" w:cstheme="minorHAnsi"/>
              </w:rPr>
              <w:t>:</w:t>
            </w:r>
          </w:p>
          <w:p w14:paraId="3634872A" w14:textId="77777777" w:rsidR="009C6A38" w:rsidRPr="009C6A38" w:rsidRDefault="009C6A38" w:rsidP="00CC6E69">
            <w:pPr>
              <w:jc w:val="both"/>
              <w:rPr>
                <w:rFonts w:cstheme="minorHAnsi"/>
                <w:szCs w:val="20"/>
              </w:rPr>
            </w:pPr>
          </w:p>
          <w:p w14:paraId="183228AF" w14:textId="77777777" w:rsidR="009C6A38" w:rsidRPr="009C6A38" w:rsidRDefault="009C6A38" w:rsidP="00CC6E69">
            <w:pPr>
              <w:jc w:val="both"/>
              <w:rPr>
                <w:rFonts w:cstheme="minorHAnsi"/>
                <w:b/>
                <w:szCs w:val="20"/>
              </w:rPr>
            </w:pPr>
            <w:r w:rsidRPr="009C6A38">
              <w:rPr>
                <w:rFonts w:cstheme="minorHAnsi"/>
                <w:b/>
                <w:szCs w:val="20"/>
              </w:rPr>
              <w:t>Oggetto: Contratti finanziati con PNRR - requisito quota 30% di assunzioni occupazione giovanile e femminile</w:t>
            </w:r>
          </w:p>
          <w:p w14:paraId="574F6D8E" w14:textId="77777777" w:rsidR="009C6A38" w:rsidRPr="009C6A38" w:rsidRDefault="009C6A38" w:rsidP="00CC6E69">
            <w:pPr>
              <w:jc w:val="both"/>
              <w:rPr>
                <w:rFonts w:cstheme="minorHAnsi"/>
                <w:szCs w:val="20"/>
              </w:rPr>
            </w:pPr>
          </w:p>
          <w:p w14:paraId="1D2AD254" w14:textId="11C381D7" w:rsidR="009C6A38" w:rsidRPr="009C6A38" w:rsidRDefault="009C6A38" w:rsidP="00CC6E69">
            <w:pPr>
              <w:jc w:val="both"/>
              <w:rPr>
                <w:rFonts w:cstheme="minorHAnsi"/>
                <w:szCs w:val="20"/>
              </w:rPr>
            </w:pPr>
            <w:r w:rsidRPr="009C6A38">
              <w:rPr>
                <w:rFonts w:cstheme="minorHAnsi"/>
                <w:b/>
                <w:szCs w:val="20"/>
              </w:rPr>
              <w:t>Quesito</w:t>
            </w:r>
            <w:r w:rsidRPr="009C6A38">
              <w:rPr>
                <w:rFonts w:cstheme="minorHAnsi"/>
                <w:szCs w:val="20"/>
              </w:rPr>
              <w:t>:</w:t>
            </w:r>
            <w:r>
              <w:rPr>
                <w:rFonts w:cstheme="minorHAnsi"/>
                <w:szCs w:val="20"/>
              </w:rPr>
              <w:t xml:space="preserve"> </w:t>
            </w:r>
            <w:r w:rsidRPr="009C6A38">
              <w:rPr>
                <w:rFonts w:cstheme="minorHAnsi"/>
                <w:i/>
                <w:szCs w:val="20"/>
              </w:rPr>
              <w:t>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p>
          <w:p w14:paraId="0ED3B005" w14:textId="77777777" w:rsidR="009C6A38" w:rsidRPr="009C6A38" w:rsidRDefault="009C6A38" w:rsidP="00CC6E69">
            <w:pPr>
              <w:jc w:val="both"/>
              <w:rPr>
                <w:rFonts w:cstheme="minorHAnsi"/>
                <w:szCs w:val="20"/>
              </w:rPr>
            </w:pPr>
          </w:p>
          <w:p w14:paraId="6A145893" w14:textId="7AC159B7" w:rsidR="009C6A38" w:rsidRPr="00BD33E1" w:rsidRDefault="009C6A38" w:rsidP="00CC6E69">
            <w:pPr>
              <w:jc w:val="both"/>
              <w:rPr>
                <w:rFonts w:cstheme="minorHAnsi"/>
                <w:i/>
                <w:szCs w:val="20"/>
                <w:u w:val="single"/>
              </w:rPr>
            </w:pPr>
            <w:r w:rsidRPr="009C6A38">
              <w:rPr>
                <w:rFonts w:cstheme="minorHAnsi"/>
                <w:b/>
                <w:szCs w:val="20"/>
              </w:rPr>
              <w:t>Risposta</w:t>
            </w:r>
            <w:r w:rsidRPr="009C6A38">
              <w:rPr>
                <w:rFonts w:cstheme="minorHAnsi"/>
                <w:szCs w:val="20"/>
              </w:rPr>
              <w:t>:</w:t>
            </w:r>
            <w:r>
              <w:rPr>
                <w:rFonts w:cstheme="minorHAnsi"/>
                <w:szCs w:val="20"/>
              </w:rPr>
              <w:t xml:space="preserve"> </w:t>
            </w:r>
            <w:r w:rsidRPr="00BD33E1">
              <w:rPr>
                <w:rFonts w:cstheme="minorHAnsi"/>
                <w:i/>
                <w:szCs w:val="2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RPr="00BD33E1">
              <w:rPr>
                <w:rFonts w:cstheme="minorHAnsi"/>
                <w:i/>
                <w:szCs w:val="20"/>
                <w:u w:val="single"/>
              </w:rPr>
              <w:t>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14:paraId="2996F86A" w14:textId="31AF46E2" w:rsidR="009C6A38" w:rsidRPr="009C6A38" w:rsidRDefault="009C6A38" w:rsidP="00CC6E69">
            <w:pPr>
              <w:jc w:val="both"/>
              <w:rPr>
                <w:rFonts w:cstheme="minorHAnsi"/>
                <w:szCs w:val="20"/>
              </w:rPr>
            </w:pPr>
            <w:r w:rsidRPr="00BD33E1">
              <w:rPr>
                <w:rFonts w:cstheme="minorHAnsi"/>
                <w:i/>
                <w:szCs w:val="20"/>
              </w:rPr>
              <w:t>Non è richiesto, quindi, che l’operatore si impegni ad assumere personale, nel caso in cui la prestazione possa essere eseguita con personale già contrattualizzato.</w:t>
            </w:r>
          </w:p>
          <w:p w14:paraId="1FC4BB66" w14:textId="77777777" w:rsidR="009C6A38" w:rsidRPr="009C6A38" w:rsidRDefault="009C6A38" w:rsidP="00CC6E69">
            <w:pPr>
              <w:jc w:val="both"/>
              <w:rPr>
                <w:rFonts w:cstheme="minorHAnsi"/>
                <w:szCs w:val="20"/>
              </w:rPr>
            </w:pPr>
          </w:p>
        </w:tc>
      </w:tr>
    </w:tbl>
    <w:p w14:paraId="11650EB1" w14:textId="77777777" w:rsidR="009C6A38" w:rsidRPr="008053D0" w:rsidRDefault="009C6A38" w:rsidP="009C6A38">
      <w:pPr>
        <w:widowControl w:val="0"/>
        <w:rPr>
          <w:rFonts w:cs="Arial"/>
          <w:b/>
          <w:i/>
          <w:u w:val="single"/>
        </w:rPr>
      </w:pPr>
    </w:p>
    <w:sectPr w:rsidR="009C6A38" w:rsidRPr="008053D0" w:rsidSect="00452E8C">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247" w:footer="107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1E953" w14:textId="77777777" w:rsidR="00CC6E8A" w:rsidRDefault="00CC6E8A" w:rsidP="00F91270">
      <w:r>
        <w:separator/>
      </w:r>
    </w:p>
  </w:endnote>
  <w:endnote w:type="continuationSeparator" w:id="0">
    <w:p w14:paraId="7DA338CA" w14:textId="77777777" w:rsidR="00CC6E8A" w:rsidRDefault="00CC6E8A"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F7800" w14:textId="77777777" w:rsidR="00452E8C" w:rsidRDefault="00452E8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09CD9470" w:rsidR="00FB1BA1" w:rsidRDefault="00452E8C">
    <w:pPr>
      <w:pStyle w:val="Footer"/>
    </w:pPr>
    <w:bookmarkStart w:id="1" w:name="_GoBack"/>
    <w:r>
      <w:rPr>
        <w:noProof/>
        <w:lang w:val="en-GB" w:eastAsia="en-GB"/>
      </w:rPr>
      <w:drawing>
        <wp:anchor distT="0" distB="0" distL="114300" distR="114300" simplePos="0" relativeHeight="251667456" behindDoc="1" locked="0" layoutInCell="1" allowOverlap="1" wp14:anchorId="2EC449D5" wp14:editId="4433D9F5">
          <wp:simplePos x="0" y="0"/>
          <wp:positionH relativeFrom="margin">
            <wp:posOffset>5019040</wp:posOffset>
          </wp:positionH>
          <wp:positionV relativeFrom="paragraph">
            <wp:posOffset>24130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42A3DFA1" wp14:editId="4802377F">
              <wp:simplePos x="0" y="0"/>
              <wp:positionH relativeFrom="margin">
                <wp:posOffset>-238125</wp:posOffset>
              </wp:positionH>
              <wp:positionV relativeFrom="page">
                <wp:posOffset>9871710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69F09305" w14:textId="77777777" w:rsidR="00452E8C" w:rsidRPr="0061232E" w:rsidRDefault="00452E8C" w:rsidP="00452E8C">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A3DFA1" id="_x0000_t202" coordsize="21600,21600" o:spt="202" path="m,l,21600r21600,l21600,xe">
              <v:stroke joinstyle="miter"/>
              <v:path gradientshapeok="t" o:connecttype="rect"/>
            </v:shapetype>
            <v:shape id="Casella di testo 4" o:spid="_x0000_s1026" type="#_x0000_t202" style="position:absolute;margin-left:-18.75pt;margin-top:777.3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" filled="f" strokecolor="#a5a5a5 [2092]" strokeweight=".5pt">
              <v:stroke dashstyle="dash"/>
              <v:textbox inset="0,0,0,0">
                <w:txbxContent>
                  <w:p w14:paraId="69F09305" w14:textId="77777777" w:rsidR="00452E8C" w:rsidRPr="0061232E" w:rsidRDefault="00452E8C" w:rsidP="00452E8C">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3EC52E23" wp14:editId="041A3289">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652EB" w14:textId="77777777" w:rsidR="00452E8C" w:rsidRDefault="00452E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6C7C9" w14:textId="77777777" w:rsidR="00CC6E8A" w:rsidRDefault="00CC6E8A" w:rsidP="00F91270">
      <w:r>
        <w:separator/>
      </w:r>
    </w:p>
  </w:footnote>
  <w:footnote w:type="continuationSeparator" w:id="0">
    <w:p w14:paraId="699901A1" w14:textId="77777777" w:rsidR="00CC6E8A" w:rsidRDefault="00CC6E8A" w:rsidP="00F91270">
      <w:r>
        <w:continuationSeparator/>
      </w:r>
    </w:p>
  </w:footnote>
  <w:footnote w:id="1">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Nel </w:t>
      </w:r>
      <w:r w:rsidRPr="00516C28">
        <w:rPr>
          <w:rFonts w:asciiTheme="minorHAnsi" w:hAnsiTheme="minorHAnsi" w:cstheme="minorHAnsi"/>
          <w:sz w:val="16"/>
          <w:szCs w:val="16"/>
        </w:rPr>
        <w:t>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82F64" w14:textId="77777777" w:rsidR="00452E8C" w:rsidRDefault="00452E8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2B8B" w14:textId="31414E61" w:rsidR="00452E8C" w:rsidRDefault="00452E8C">
    <w:pPr>
      <w:pStyle w:val="Header"/>
    </w:pPr>
    <w:r w:rsidRPr="00E458D0">
      <w:rPr>
        <w:noProof/>
        <w:lang w:val="en-GB" w:eastAsia="en-GB"/>
      </w:rPr>
      <w:drawing>
        <wp:anchor distT="0" distB="0" distL="114300" distR="114300" simplePos="0" relativeHeight="251661312" behindDoc="1" locked="0" layoutInCell="1" allowOverlap="1" wp14:anchorId="3168BF73" wp14:editId="1B86A1CF">
          <wp:simplePos x="0" y="0"/>
          <wp:positionH relativeFrom="margin">
            <wp:posOffset>5142865</wp:posOffset>
          </wp:positionH>
          <wp:positionV relativeFrom="topMargin">
            <wp:posOffset>299085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5F984DD" wp14:editId="30F776FE">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77E77" w14:textId="77777777" w:rsidR="00452E8C" w:rsidRDefault="00452E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7"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5"/>
  </w:num>
  <w:num w:numId="2">
    <w:abstractNumId w:val="1"/>
  </w:num>
  <w:num w:numId="3">
    <w:abstractNumId w:val="4"/>
  </w:num>
  <w:num w:numId="4">
    <w:abstractNumId w:val="22"/>
  </w:num>
  <w:num w:numId="5">
    <w:abstractNumId w:val="0"/>
  </w:num>
  <w:num w:numId="6">
    <w:abstractNumId w:val="20"/>
  </w:num>
  <w:num w:numId="7">
    <w:abstractNumId w:val="10"/>
  </w:num>
  <w:num w:numId="8">
    <w:abstractNumId w:val="9"/>
  </w:num>
  <w:num w:numId="9">
    <w:abstractNumId w:val="2"/>
  </w:num>
  <w:num w:numId="10">
    <w:abstractNumId w:val="27"/>
  </w:num>
  <w:num w:numId="11">
    <w:abstractNumId w:val="6"/>
  </w:num>
  <w:num w:numId="12">
    <w:abstractNumId w:val="26"/>
  </w:num>
  <w:num w:numId="13">
    <w:abstractNumId w:val="5"/>
  </w:num>
  <w:num w:numId="14">
    <w:abstractNumId w:val="16"/>
  </w:num>
  <w:num w:numId="15">
    <w:abstractNumId w:val="24"/>
  </w:num>
  <w:num w:numId="16">
    <w:abstractNumId w:val="3"/>
  </w:num>
  <w:num w:numId="17">
    <w:abstractNumId w:val="21"/>
  </w:num>
  <w:num w:numId="18">
    <w:abstractNumId w:val="8"/>
  </w:num>
  <w:num w:numId="19">
    <w:abstractNumId w:val="28"/>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9"/>
  </w:num>
  <w:num w:numId="27">
    <w:abstractNumId w:val="17"/>
  </w:num>
  <w:num w:numId="28">
    <w:abstractNumId w:val="7"/>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C43F4"/>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6D12"/>
    <w:rsid w:val="003973C6"/>
    <w:rsid w:val="003A2679"/>
    <w:rsid w:val="003A5EEF"/>
    <w:rsid w:val="003B387A"/>
    <w:rsid w:val="003B7F93"/>
    <w:rsid w:val="003C115C"/>
    <w:rsid w:val="003C16A1"/>
    <w:rsid w:val="003C543C"/>
    <w:rsid w:val="003D7559"/>
    <w:rsid w:val="004011C6"/>
    <w:rsid w:val="00403BB6"/>
    <w:rsid w:val="00417A9D"/>
    <w:rsid w:val="00420576"/>
    <w:rsid w:val="004209F0"/>
    <w:rsid w:val="00421D62"/>
    <w:rsid w:val="0042272A"/>
    <w:rsid w:val="0042527F"/>
    <w:rsid w:val="0043526A"/>
    <w:rsid w:val="0043654F"/>
    <w:rsid w:val="00443857"/>
    <w:rsid w:val="00452E8C"/>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47E2A"/>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C6E8A"/>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2A8"/>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D13302B3-8842-438B-9DFB-A1D475BE4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AD73D5-7A88-4637-A3E9-BDB0E702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1005</Words>
  <Characters>5734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19</cp:revision>
  <cp:lastPrinted>2017-10-24T09:03:00Z</cp:lastPrinted>
  <dcterms:created xsi:type="dcterms:W3CDTF">2022-11-22T14:18:00Z</dcterms:created>
  <dcterms:modified xsi:type="dcterms:W3CDTF">2023-10-12T14:46:00Z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